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Helvetica Neue" w:hAnsi="Helvetica Neue"/>
          <w:b/>
          <w:i w:val="0"/>
          <w:sz w:val="52"/>
        </w:rPr>
        <w:t>TIC-TAC-TOE BOLT</w:t>
      </w:r>
    </w:p>
    <w:p>
      <w:pPr>
        <w:spacing w:before="0" w:after="200"/>
      </w:pPr>
      <w:r>
        <w:rPr>
          <w:rFonts w:ascii="Helvetica Neue" w:hAnsi="Helvetica Neue"/>
          <w:b w:val="0"/>
          <w:i w:val="0"/>
          <w:color w:val="505050"/>
          <w:sz w:val="20"/>
        </w:rPr>
        <w:t>Uživatelský manuál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Klasická hra Piškvorky nově vynalezena! Tři hry s tematikou piškvorek v jedné krabici — prověří vaši soustředěnost a paměť. Rychlé zahájení, ale zvládnout je trvá dlouho.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Součásti: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Dotykový displej  —  automatické vypnutí po 10 minutách nečinnosti; přepínač pro zapnutí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Prostor pro baterie  —  dvě baterie AA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Přepínač Zapnutí / Vypnutí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režimy:  1 Nekonečné Piškvorky — Robot  /  Nekonečné Piškvorky — Hra pro dva  /  2 Paměťový blesk  /  3 Překrývací Piškvorky ]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1  NEKONEČNÉ PIŠKVORKY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Střídejte se v klepání na displej a provádějte tahy — kdo spojí 3 za sebou, vyhrává. X hraje jako první. Pro každého hráče lze umístit pouze 3 značky. Při umístění 4. značky nejstarší zmizí.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Rychlý start — Režim robota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X (člověk) táhne jako první, (robot) táhne jako druhý.</w:t>
        <w:br/>
        <w:t>Spojené 3 dlaždice zablikají, když někdo vyhraje. Klepnutím na displej restartujte.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Rychlý start — Hra pro dva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X (hráč 1) táhne jako první, poté čeká na tah (hráče 2).</w:t>
        <w:br/>
        <w:t>Spojené 3 dlaždice zablikají, když někdo vyhraje. Klepnutím na displej restartujte.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2  PAMĚŤOVÝ BLESK  —  2–3 MIN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Soustřeďte se a zapamatujte si pořadí. K dispozici je 9 obtížností, každá se 3 fázemi. Projděte všechny 9 obtížností najednou a porazte hru!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Rychlý start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Přepněte do režimu Paměťový blesk.</w:t>
        <w:br/>
        <w:t>2.  Sledujte a zapamatujte si světelnou sekvenci.</w:t>
        <w:br/>
        <w:t>3.  Zopakujte sekvenci klepnutím.</w:t>
        <w:br/>
        <w:br/>
        <w:t xml:space="preserve">     Správně: značka zmizí</w:t>
        <w:br/>
        <w:t xml:space="preserve">     Chybně: zobrazí se značka X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3  PŘEKRÝVACÍ PIŠKVORKY  —  2–3 MIN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Sestavte mřížku.</w:t>
        <w:br/>
        <w:t>2.  Zvolte barvu.</w:t>
        <w:br/>
        <w:t>3.  Spojte 3 za sebou a vyhrajte!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Rychlý start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V každém tahu si vyberte: 'umístit' nebo 'přesunout' kámen.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Umístění: Umístěte kámen na prázdnou dlaždici nebo přikryjte jím jakýkoli menší kámen.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Přesunutí: Přesuňte kámen na prázdnou dlaždici nebo přikryjte jím jakýkoli menší kámen.</w:t>
        <w:br/>
        <w:br/>
        <w:t xml:space="preserve">     * Přesouvat lze pouze svrchní kámen.</w:t>
        <w:br/>
        <w:t xml:space="preserve">     * Pokud po tahu nastane remíza, vyhrává soupeř.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SPECIFIKACE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Tic-Tac-Toe Bolt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Model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JKJZQ001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Materiál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ABS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Věk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3+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Baterie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2× AA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NEJČASTĚJŠÍ OTÁZKY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se dotykový displej náhle vypne?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Konzole se automaticky vypne při vybití baterie nebo po 10 minutách nečinnosti. Vyměňte baterii nebo přepněte přepínač pro probuzení.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Jak rozlišit režim robota od hry pro dva?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V režimu robota: po tahu X (člověka) automaticky táhne (robot).</w:t>
        <w:br/>
        <w:t>V režimu hra pro dva: po tahu X (hráče 1) se čeká na tah (hráče 2).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POZNÁMKY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 Tic-Tac-Toe Bolt. Pokud dojde k vytečení baterie, důkladně omyjte zasaženou pokožku a oblečení vodou. Udržujte kyselinu z baterie mimo oči a ústa. Vytékající baterie mohou vydávat praskající zvuky.</w:t>
        <w:br/>
        <w:t>Aby nedošlo k vytečení baterie: nemíchejte různé značky baterií; nemíchejte staré a nové baterie; nemíchejte alkalické, standardní (uhlíkovo-zinkové) ani dobíjecí baterie; nevkládejte použité baterie do výrobku; nenechávejte baterie ve výrobku po delší dobu při nepoužívání; nevkládejte baterie obráceně — zkontrolujte správnou orientaci pólů (+) a (−); nevhazujte baterie do ohně.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Napájecí svorky nesmí být zkratovány.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Nevhodné pro děti do 3 let. Malé části. Nebezpečí spolknutí.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Před použitím si pečlivě přečtěte tento manuál a uschovejte ho pro budoucí použití.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LIMITED WARRANTY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DECLARATION OF CONFORMITY / PROHLÁŠENÍ O SHODĚ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EUROPEAN UNION — DISPOSAL INFORMATION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FCC STATEMENT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